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12"/>
        <w:tblW w:w="0" w:type="auto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7F5B96" w:rsidRPr="007F5B96" w:rsidTr="00773CBD">
        <w:trPr>
          <w:trHeight w:val="539"/>
        </w:trPr>
        <w:tc>
          <w:tcPr>
            <w:tcW w:w="9180" w:type="dxa"/>
            <w:tcBorders>
              <w:bottom w:val="thickThinSmallGap" w:sz="12" w:space="0" w:color="auto"/>
            </w:tcBorders>
            <w:shd w:val="clear" w:color="auto" w:fill="auto"/>
          </w:tcPr>
          <w:p w:rsidR="007F5B96" w:rsidRPr="007F5B96" w:rsidRDefault="007F5B96" w:rsidP="00773CBD">
            <w:pPr>
              <w:tabs>
                <w:tab w:val="left" w:pos="4860"/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F5B96">
              <w:rPr>
                <w:rFonts w:ascii="Times New Roman" w:hAnsi="Times New Roman" w:cs="Times New Roman"/>
                <w:b/>
              </w:rPr>
              <w:t>Частное профессиональное образовательное учреждение</w:t>
            </w:r>
          </w:p>
          <w:p w:rsidR="007F5B96" w:rsidRPr="007F5B96" w:rsidRDefault="007F5B96" w:rsidP="00773CBD">
            <w:pPr>
              <w:tabs>
                <w:tab w:val="left" w:pos="4860"/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F5B96">
              <w:rPr>
                <w:rFonts w:ascii="Times New Roman" w:hAnsi="Times New Roman" w:cs="Times New Roman"/>
                <w:b/>
              </w:rPr>
              <w:t xml:space="preserve"> </w:t>
            </w:r>
            <w:r w:rsidRPr="007F5B96">
              <w:rPr>
                <w:rFonts w:ascii="Times New Roman" w:hAnsi="Times New Roman" w:cs="Times New Roman"/>
                <w:b/>
                <w:sz w:val="32"/>
                <w:szCs w:val="32"/>
              </w:rPr>
              <w:t>«ФИНАНСОВО-ЭКОНОМИЧЕСКИЙ КОЛЛЕДЖ»</w:t>
            </w:r>
          </w:p>
        </w:tc>
      </w:tr>
    </w:tbl>
    <w:p w:rsidR="007F5B96" w:rsidRPr="007F5B96" w:rsidRDefault="007F5B96" w:rsidP="007F5B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5B96" w:rsidRPr="007F5B96" w:rsidRDefault="007F5B96" w:rsidP="007F5B9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F5B96">
        <w:rPr>
          <w:rFonts w:ascii="Times New Roman" w:hAnsi="Times New Roman" w:cs="Times New Roman"/>
          <w:b/>
          <w:bCs/>
          <w:sz w:val="48"/>
          <w:szCs w:val="48"/>
        </w:rPr>
        <w:t>Практическая работа</w:t>
      </w:r>
    </w:p>
    <w:p w:rsidR="007F5B96" w:rsidRPr="007F5B96" w:rsidRDefault="007F5B96" w:rsidP="007F5B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483"/>
        <w:gridCol w:w="7655"/>
      </w:tblGrid>
      <w:tr w:rsidR="007F5B96" w:rsidRPr="007F5B96" w:rsidTr="00773CBD">
        <w:tc>
          <w:tcPr>
            <w:tcW w:w="1483" w:type="dxa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5B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F5B9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«Правовое обеспечение профессиональной деятельности»</w:t>
            </w:r>
          </w:p>
        </w:tc>
      </w:tr>
    </w:tbl>
    <w:p w:rsidR="007F5B96" w:rsidRPr="007F5B96" w:rsidRDefault="007F5B96" w:rsidP="007F5B96">
      <w:pPr>
        <w:tabs>
          <w:tab w:val="left" w:pos="340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7F5B96">
        <w:rPr>
          <w:rFonts w:ascii="Times New Roman" w:hAnsi="Times New Roman" w:cs="Times New Roman"/>
          <w:sz w:val="16"/>
          <w:szCs w:val="16"/>
        </w:rPr>
        <w:t xml:space="preserve">                     д</w:t>
      </w:r>
      <w:r w:rsidRPr="007F5B96">
        <w:rPr>
          <w:rFonts w:ascii="Times New Roman" w:hAnsi="Times New Roman" w:cs="Times New Roman"/>
          <w:sz w:val="16"/>
          <w:szCs w:val="16"/>
        </w:rPr>
        <w:t>исциплин</w:t>
      </w:r>
    </w:p>
    <w:p w:rsidR="007F5B96" w:rsidRPr="007F5B96" w:rsidRDefault="007F5B96" w:rsidP="007F5B96">
      <w:pPr>
        <w:rPr>
          <w:rFonts w:ascii="Times New Roman" w:hAnsi="Times New Roman" w:cs="Times New Roman"/>
          <w:b/>
          <w:color w:val="000000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3014"/>
        <w:gridCol w:w="454"/>
        <w:gridCol w:w="656"/>
        <w:gridCol w:w="1024"/>
        <w:gridCol w:w="3960"/>
      </w:tblGrid>
      <w:tr w:rsidR="007F5B96" w:rsidRPr="007F5B96" w:rsidTr="00773CBD">
        <w:tc>
          <w:tcPr>
            <w:tcW w:w="3014" w:type="dxa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F5B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Выполни</w:t>
            </w:r>
            <w:proofErr w:type="gramStart"/>
            <w:r w:rsidRPr="007F5B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л(</w:t>
            </w:r>
            <w:proofErr w:type="gramEnd"/>
            <w:r w:rsidRPr="007F5B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а) студент(ка)</w:t>
            </w:r>
          </w:p>
        </w:tc>
        <w:tc>
          <w:tcPr>
            <w:tcW w:w="6094" w:type="dxa"/>
            <w:gridSpan w:val="4"/>
            <w:tcBorders>
              <w:bottom w:val="single" w:sz="4" w:space="0" w:color="auto"/>
            </w:tcBorders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F5B96" w:rsidRPr="007F5B96" w:rsidTr="00773CBD">
        <w:tc>
          <w:tcPr>
            <w:tcW w:w="4124" w:type="dxa"/>
            <w:gridSpan w:val="3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84" w:type="dxa"/>
            <w:gridSpan w:val="2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F5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фамилия имя отчество</w:t>
            </w:r>
          </w:p>
        </w:tc>
      </w:tr>
      <w:tr w:rsidR="007F5B96" w:rsidRPr="007F5B96" w:rsidTr="00773CBD">
        <w:tc>
          <w:tcPr>
            <w:tcW w:w="3468" w:type="dxa"/>
            <w:gridSpan w:val="2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5B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Идентификационный номер:</w:t>
            </w:r>
          </w:p>
        </w:tc>
        <w:tc>
          <w:tcPr>
            <w:tcW w:w="5640" w:type="dxa"/>
            <w:gridSpan w:val="3"/>
            <w:tcBorders>
              <w:bottom w:val="single" w:sz="4" w:space="0" w:color="auto"/>
            </w:tcBorders>
          </w:tcPr>
          <w:p w:rsidR="007F5B96" w:rsidRPr="007F5B96" w:rsidRDefault="007F5B96" w:rsidP="00773C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F5B96" w:rsidRPr="007F5B96" w:rsidTr="00773CBD">
        <w:tc>
          <w:tcPr>
            <w:tcW w:w="3014" w:type="dxa"/>
          </w:tcPr>
          <w:p w:rsidR="007F5B96" w:rsidRPr="007F5B96" w:rsidRDefault="007F5B96" w:rsidP="00773C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94" w:type="dxa"/>
            <w:gridSpan w:val="4"/>
          </w:tcPr>
          <w:p w:rsidR="007F5B96" w:rsidRPr="007F5B96" w:rsidRDefault="007F5B96" w:rsidP="00773C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5B96" w:rsidRPr="007F5B96" w:rsidTr="00773CBD">
        <w:tc>
          <w:tcPr>
            <w:tcW w:w="5148" w:type="dxa"/>
            <w:gridSpan w:val="4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0" w:type="dxa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5B96" w:rsidRPr="007F5B96" w:rsidTr="00773CBD">
        <w:tc>
          <w:tcPr>
            <w:tcW w:w="5148" w:type="dxa"/>
            <w:gridSpan w:val="4"/>
          </w:tcPr>
          <w:p w:rsidR="007F5B96" w:rsidRPr="007F5B96" w:rsidRDefault="007F5B96" w:rsidP="00773CB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5B96" w:rsidRPr="007F5B96" w:rsidTr="00773CBD">
        <w:tc>
          <w:tcPr>
            <w:tcW w:w="5148" w:type="dxa"/>
            <w:gridSpan w:val="4"/>
          </w:tcPr>
          <w:p w:rsidR="007F5B96" w:rsidRPr="007F5B96" w:rsidRDefault="007F5B96" w:rsidP="007F5B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5B96" w:rsidRPr="007F5B96" w:rsidTr="00773CBD">
        <w:trPr>
          <w:trHeight w:val="551"/>
        </w:trPr>
        <w:tc>
          <w:tcPr>
            <w:tcW w:w="5148" w:type="dxa"/>
            <w:gridSpan w:val="4"/>
          </w:tcPr>
          <w:p w:rsidR="007F5B96" w:rsidRPr="007F5B96" w:rsidRDefault="007F5B96" w:rsidP="00773C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B96" w:rsidRPr="007F5B96" w:rsidRDefault="007F5B96" w:rsidP="00773C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7F5B96" w:rsidRPr="007F5B96" w:rsidRDefault="007F5B96" w:rsidP="00773CBD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F5B96" w:rsidRPr="007F5B96" w:rsidRDefault="007F5B96" w:rsidP="00773CBD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F5B96" w:rsidRPr="007F5B96" w:rsidRDefault="007F5B96" w:rsidP="007F5B96">
      <w:pPr>
        <w:tabs>
          <w:tab w:val="left" w:pos="2655"/>
        </w:tabs>
        <w:rPr>
          <w:rFonts w:ascii="Times New Roman" w:hAnsi="Times New Roman" w:cs="Times New Roman"/>
        </w:rPr>
      </w:pPr>
    </w:p>
    <w:p w:rsidR="007F5B96" w:rsidRPr="007F5B96" w:rsidRDefault="007F5B96" w:rsidP="007F5B96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5B96">
        <w:rPr>
          <w:rFonts w:ascii="Times New Roman" w:hAnsi="Times New Roman" w:cs="Times New Roman"/>
        </w:rPr>
        <w:t>Пермь 20___</w:t>
      </w:r>
    </w:p>
    <w:p w:rsidR="007F5B96" w:rsidRPr="007F5B96" w:rsidRDefault="007F5B96" w:rsidP="00A8406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1"/>
          <w:szCs w:val="21"/>
        </w:rPr>
      </w:pP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b/>
          <w:bCs/>
          <w:color w:val="000000"/>
          <w:sz w:val="28"/>
          <w:szCs w:val="28"/>
        </w:rPr>
        <w:lastRenderedPageBreak/>
        <w:t>Задача 1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rStyle w:val="a4"/>
          <w:color w:val="000000"/>
          <w:sz w:val="28"/>
          <w:szCs w:val="28"/>
        </w:rPr>
        <w:t>Решите задачу. При ответе используйте ссылки на действующие статьи.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Физическое лицо (гражданин РФ) приобрело в собственность несколько нежилых помещений и планирует сдавать их в аренду. Нужно ли ему регистрироваться в качестве индивидуального предпринимателя до сдачи в аренду этих помещений? Каковы последствия осуществления физическим лицом предпринимательской деятельности без государственной регистрации?</w:t>
      </w:r>
    </w:p>
    <w:p w:rsidR="0008411B" w:rsidRPr="007F5B96" w:rsidRDefault="00C22773" w:rsidP="007F5B96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7F5B96">
        <w:rPr>
          <w:color w:val="000000"/>
          <w:sz w:val="28"/>
          <w:szCs w:val="28"/>
        </w:rPr>
        <w:t>Согласно ст. 2 ГК РФ, Гражданское законодательство регулирует отношения между лицами, осуществляющими предпринимательскую деятельность, или с их участием, исходя из того, что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  <w:proofErr w:type="gramEnd"/>
      <w:r w:rsidRPr="007F5B96">
        <w:rPr>
          <w:color w:val="000000"/>
          <w:sz w:val="28"/>
          <w:szCs w:val="28"/>
        </w:rPr>
        <w:t xml:space="preserve"> Лица, осуществляющие предпринимательскую деятельность, должны быть зарегистрированы в этом качестве в установленном законом порядке, если иное не предусмотрено настоящим Кодексом.</w:t>
      </w:r>
    </w:p>
    <w:p w:rsidR="00C22773" w:rsidRPr="007F5B96" w:rsidRDefault="00C22773" w:rsidP="007F5B96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Данная деятельность является самостоятельной и направленной на систематическое получение прибыли от пользования имуществом</w:t>
      </w:r>
      <w:r w:rsidR="00E43933" w:rsidRPr="007F5B96">
        <w:rPr>
          <w:color w:val="000000"/>
          <w:sz w:val="28"/>
          <w:szCs w:val="28"/>
        </w:rPr>
        <w:t>, а также рискованной учитывая наличие риска повреждения имущества от действий арендодателей</w:t>
      </w:r>
      <w:proofErr w:type="gramStart"/>
      <w:r w:rsidR="00E43933" w:rsidRPr="007F5B96">
        <w:rPr>
          <w:color w:val="000000"/>
          <w:sz w:val="28"/>
          <w:szCs w:val="28"/>
        </w:rPr>
        <w:t>.</w:t>
      </w:r>
      <w:r w:rsidRPr="007F5B96">
        <w:rPr>
          <w:color w:val="000000"/>
          <w:sz w:val="28"/>
          <w:szCs w:val="28"/>
        </w:rPr>
        <w:t>.</w:t>
      </w:r>
      <w:proofErr w:type="gramEnd"/>
    </w:p>
    <w:p w:rsidR="00E43933" w:rsidRPr="007F5B96" w:rsidRDefault="00E43933" w:rsidP="007F5B96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7F5B96">
        <w:rPr>
          <w:color w:val="000000"/>
          <w:sz w:val="28"/>
          <w:szCs w:val="28"/>
        </w:rPr>
        <w:t xml:space="preserve">Суды признают деятельность по предоставлению имущества в аренду юридическим лицам предпринимательской по следующим юридическим фактам: деятельность имеет длительный характер, систематически приносит доход, ряд объектов недвижимости не может использоваться в личных целях собственника, и целью их использования является получение дохода от предоставления третьим лицам за плату, устойчивые связи с арендатором (неоднократное заключение договоров аренды с одним и тем же лицом </w:t>
      </w:r>
      <w:r w:rsidRPr="007F5B96">
        <w:rPr>
          <w:color w:val="000000"/>
          <w:sz w:val="28"/>
          <w:szCs w:val="28"/>
        </w:rPr>
        <w:lastRenderedPageBreak/>
        <w:t>(Апелляционное</w:t>
      </w:r>
      <w:proofErr w:type="gramEnd"/>
      <w:r w:rsidRPr="007F5B96">
        <w:rPr>
          <w:color w:val="000000"/>
          <w:sz w:val="28"/>
          <w:szCs w:val="28"/>
        </w:rPr>
        <w:t xml:space="preserve"> определение СК по административным делам Иркутского областного суда от 26.0</w:t>
      </w:r>
      <w:r w:rsidR="007F5B96" w:rsidRPr="007F5B96">
        <w:rPr>
          <w:color w:val="000000"/>
          <w:sz w:val="28"/>
          <w:szCs w:val="28"/>
        </w:rPr>
        <w:t>2.2019 по делу N 33а-1459/2019).</w:t>
      </w:r>
    </w:p>
    <w:p w:rsidR="00E43933" w:rsidRPr="007F5B96" w:rsidRDefault="00E43933" w:rsidP="007F5B96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Следовательно, данную деятельность следует считать предпринимательской и лицо должно быть признано индивидуальным предпринимателем.</w:t>
      </w:r>
    </w:p>
    <w:p w:rsidR="00E43933" w:rsidRPr="007F5B96" w:rsidRDefault="00E43933" w:rsidP="007F5B96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Осуществление гражданином предпринимательской деятельности без регистрации в качестве ИП или ЮЛ влечет наступление административной или уголовной ответственности (ч. 1 ст. 14.1 КоАП РФ, ст. 171 УК РФ).</w:t>
      </w:r>
    </w:p>
    <w:p w:rsidR="00E43933" w:rsidRPr="007F5B96" w:rsidRDefault="00E43933" w:rsidP="007F5B96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Согласно ст. 14.1. КоАП РФ,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</w:t>
      </w:r>
      <w:r w:rsidRPr="007F5B96">
        <w:rPr>
          <w:sz w:val="28"/>
          <w:szCs w:val="28"/>
        </w:rPr>
        <w:t xml:space="preserve"> </w:t>
      </w:r>
      <w:r w:rsidRPr="007F5B96">
        <w:rPr>
          <w:color w:val="000000"/>
          <w:sz w:val="28"/>
          <w:szCs w:val="28"/>
        </w:rPr>
        <w:t>влечет наложение административного штрафа в размере от пятисот до двух тысяч рублей.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b/>
          <w:bCs/>
          <w:color w:val="000000"/>
          <w:sz w:val="28"/>
          <w:szCs w:val="28"/>
        </w:rPr>
        <w:t>Задача 2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rStyle w:val="a4"/>
          <w:color w:val="000000"/>
          <w:sz w:val="28"/>
          <w:szCs w:val="28"/>
        </w:rPr>
        <w:t>Решите задачу. При ответе используйте ссылки на действующие статьи.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Заместитель руководителя крупной компании, действуя по доверенности, срок которой истекает через полгода, заключил с партнером компании трехлетний контракт.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Вправе ли лицо, действующее по доверенности, заключить договор на срок, превышающий срок действия самой доверенности? Проанализируйте законодательство, судебную практику и дайте обоснованный ответ.</w:t>
      </w:r>
    </w:p>
    <w:p w:rsidR="00E43933" w:rsidRPr="007F5B96" w:rsidRDefault="00E43933" w:rsidP="007F5B96">
      <w:pPr>
        <w:pStyle w:val="a3"/>
        <w:shd w:val="clear" w:color="auto" w:fill="FFFFFF"/>
        <w:spacing w:after="24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 xml:space="preserve">Доверенностью признается письменное уполномочие, выдаваемое одним лицом (в данном случае - организацией) другому лицу для представительства перед третьими лицами. То есть, совершая сделки в силу полномочий, основанных на доверенности, представитель действует от имени представляемого. Сделка, совершенная представителем по доверенности от имени организации, непосредственно создает, изменяет и прекращает </w:t>
      </w:r>
      <w:r w:rsidRPr="007F5B96">
        <w:rPr>
          <w:color w:val="000000"/>
          <w:sz w:val="28"/>
          <w:szCs w:val="28"/>
        </w:rPr>
        <w:lastRenderedPageBreak/>
        <w:t>гражданские права и обязанности организации - представляемого (п. 1 ст. 182, п. 1 ст. 185 ГК РФ).</w:t>
      </w:r>
    </w:p>
    <w:p w:rsidR="006B18E1" w:rsidRPr="007F5B96" w:rsidRDefault="006B18E1" w:rsidP="007F5B9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действия договоров (иных сделок), являющихся предметом доверенности, не связан со сроком доверенности. </w:t>
      </w:r>
    </w:p>
    <w:p w:rsidR="00E43933" w:rsidRPr="007F5B96" w:rsidRDefault="006B18E1" w:rsidP="007F5B9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заместитель руководителя компании имел все основания заключить сделку сроком на 3 года на основании доверенности, срок которой истечет через полгода. 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b/>
          <w:bCs/>
          <w:color w:val="000000"/>
          <w:sz w:val="28"/>
          <w:szCs w:val="28"/>
        </w:rPr>
        <w:t>Задача 3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rStyle w:val="a4"/>
          <w:color w:val="000000"/>
          <w:sz w:val="28"/>
          <w:szCs w:val="28"/>
        </w:rPr>
        <w:t>Решите задачу. При ответе используйте ссылки на действующие статьи.</w:t>
      </w:r>
    </w:p>
    <w:p w:rsidR="00A84062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10 декабря Макаров подал заявление о предоставлении отпуска с последующим увольнением по собственному желанию. С 11 декабря ему был предоставлен отпуск. 23 декабря Макаров явился на работу и заявил, что передумал увольняться после отпуска. Тем не менее, приказ об увольнении работодатель отменить отказался. Макаров обратился в суд.</w:t>
      </w:r>
    </w:p>
    <w:p w:rsidR="006B18E1" w:rsidRPr="007F5B96" w:rsidRDefault="00A84062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Назовите особенности отпуска с последующим увольнением. Правомерны ли действия работодателя?</w:t>
      </w:r>
    </w:p>
    <w:p w:rsidR="006B18E1" w:rsidRPr="007F5B96" w:rsidRDefault="006B18E1" w:rsidP="007F5B96">
      <w:pPr>
        <w:pStyle w:val="a3"/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 xml:space="preserve">Согласно ст. 127 ТК РФ, </w:t>
      </w:r>
      <w:r w:rsidRPr="007F5B96">
        <w:rPr>
          <w:color w:val="000000"/>
          <w:sz w:val="28"/>
          <w:szCs w:val="28"/>
        </w:rPr>
        <w:t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</w:t>
      </w:r>
      <w:r w:rsidRPr="007F5B96">
        <w:rPr>
          <w:color w:val="000000"/>
          <w:sz w:val="28"/>
          <w:szCs w:val="28"/>
        </w:rPr>
        <w:t>итается последний день отпуска.</w:t>
      </w:r>
    </w:p>
    <w:p w:rsidR="006B18E1" w:rsidRPr="007F5B96" w:rsidRDefault="006B18E1" w:rsidP="007F5B96">
      <w:pPr>
        <w:pStyle w:val="a3"/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При увольнении в связи с истечением срока трудового договора отпуск с последующим увольнением может предоставляться и тогда, когда время отпуска полностью или частично выходит за пределы срока этого договора. В этом случае днем увольнения также сч</w:t>
      </w:r>
      <w:r w:rsidRPr="007F5B96">
        <w:rPr>
          <w:color w:val="000000"/>
          <w:sz w:val="28"/>
          <w:szCs w:val="28"/>
        </w:rPr>
        <w:t>итается последний день отпуска.</w:t>
      </w:r>
    </w:p>
    <w:p w:rsidR="006B18E1" w:rsidRPr="007F5B96" w:rsidRDefault="006B18E1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 xml:space="preserve">При предоставлении отпуска с последующим увольнением при расторжении трудового договора по инициативе работника этот работник имеет право </w:t>
      </w:r>
      <w:r w:rsidRPr="007F5B96">
        <w:rPr>
          <w:color w:val="000000"/>
          <w:sz w:val="28"/>
          <w:szCs w:val="28"/>
        </w:rPr>
        <w:lastRenderedPageBreak/>
        <w:t>отозвать свое заявление об увольнении до дня начала отпуска, если на его место не приглашен в порядке перевода другой работник</w:t>
      </w:r>
    </w:p>
    <w:p w:rsidR="006B18E1" w:rsidRPr="007F5B96" w:rsidRDefault="006B18E1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6B18E1" w:rsidRPr="007F5B96" w:rsidRDefault="006B18E1" w:rsidP="007F5B9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F5B96">
        <w:rPr>
          <w:color w:val="000000"/>
          <w:sz w:val="28"/>
          <w:szCs w:val="28"/>
        </w:rPr>
        <w:t>Следовательно, работник может отозвать свое заявление об увольнении до дня начала отпуска</w:t>
      </w:r>
      <w:r w:rsidR="007F5B96" w:rsidRPr="007F5B96">
        <w:rPr>
          <w:color w:val="000000"/>
          <w:sz w:val="28"/>
          <w:szCs w:val="28"/>
        </w:rPr>
        <w:t>. В данном же случае, работник отозвал свое заявление после начала отзыва. Исходя из вышеизложенного, работодатель имел все основания для увольнения Макарова после 11-ого декабря.</w:t>
      </w:r>
    </w:p>
    <w:p w:rsidR="002B4B72" w:rsidRPr="007F5B96" w:rsidRDefault="00C66FB4" w:rsidP="007F5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4B72" w:rsidRPr="007F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B4" w:rsidRDefault="00C66FB4" w:rsidP="007F5B96">
      <w:pPr>
        <w:spacing w:after="0" w:line="240" w:lineRule="auto"/>
      </w:pPr>
      <w:r>
        <w:separator/>
      </w:r>
    </w:p>
  </w:endnote>
  <w:endnote w:type="continuationSeparator" w:id="0">
    <w:p w:rsidR="00C66FB4" w:rsidRDefault="00C66FB4" w:rsidP="007F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B4" w:rsidRDefault="00C66FB4" w:rsidP="007F5B96">
      <w:pPr>
        <w:spacing w:after="0" w:line="240" w:lineRule="auto"/>
      </w:pPr>
      <w:r>
        <w:separator/>
      </w:r>
    </w:p>
  </w:footnote>
  <w:footnote w:type="continuationSeparator" w:id="0">
    <w:p w:rsidR="00C66FB4" w:rsidRDefault="00C66FB4" w:rsidP="007F5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35"/>
    <w:rsid w:val="0008411B"/>
    <w:rsid w:val="00115587"/>
    <w:rsid w:val="001B7030"/>
    <w:rsid w:val="004B7C35"/>
    <w:rsid w:val="006B18E1"/>
    <w:rsid w:val="007F5B96"/>
    <w:rsid w:val="00A84062"/>
    <w:rsid w:val="00C22773"/>
    <w:rsid w:val="00C66FB4"/>
    <w:rsid w:val="00E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4062"/>
    <w:rPr>
      <w:i/>
      <w:iCs/>
    </w:rPr>
  </w:style>
  <w:style w:type="character" w:styleId="a5">
    <w:name w:val="Strong"/>
    <w:basedOn w:val="a0"/>
    <w:uiPriority w:val="22"/>
    <w:qFormat/>
    <w:rsid w:val="00A84062"/>
    <w:rPr>
      <w:b/>
      <w:bCs/>
    </w:rPr>
  </w:style>
  <w:style w:type="paragraph" w:styleId="a6">
    <w:name w:val="header"/>
    <w:basedOn w:val="a"/>
    <w:link w:val="a7"/>
    <w:uiPriority w:val="99"/>
    <w:unhideWhenUsed/>
    <w:rsid w:val="007F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5B96"/>
  </w:style>
  <w:style w:type="paragraph" w:styleId="a8">
    <w:name w:val="footer"/>
    <w:basedOn w:val="a"/>
    <w:link w:val="a9"/>
    <w:uiPriority w:val="99"/>
    <w:unhideWhenUsed/>
    <w:rsid w:val="007F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5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4062"/>
    <w:rPr>
      <w:i/>
      <w:iCs/>
    </w:rPr>
  </w:style>
  <w:style w:type="character" w:styleId="a5">
    <w:name w:val="Strong"/>
    <w:basedOn w:val="a0"/>
    <w:uiPriority w:val="22"/>
    <w:qFormat/>
    <w:rsid w:val="00A84062"/>
    <w:rPr>
      <w:b/>
      <w:bCs/>
    </w:rPr>
  </w:style>
  <w:style w:type="paragraph" w:styleId="a6">
    <w:name w:val="header"/>
    <w:basedOn w:val="a"/>
    <w:link w:val="a7"/>
    <w:uiPriority w:val="99"/>
    <w:unhideWhenUsed/>
    <w:rsid w:val="007F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5B96"/>
  </w:style>
  <w:style w:type="paragraph" w:styleId="a8">
    <w:name w:val="footer"/>
    <w:basedOn w:val="a"/>
    <w:link w:val="a9"/>
    <w:uiPriority w:val="99"/>
    <w:unhideWhenUsed/>
    <w:rsid w:val="007F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4873</Characters>
  <Application>Microsoft Office Word</Application>
  <DocSecurity>0</DocSecurity>
  <Lines>93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2021-06-11T13:20:00Z</dcterms:created>
  <dcterms:modified xsi:type="dcterms:W3CDTF">2021-06-11T13:20:00Z</dcterms:modified>
</cp:coreProperties>
</file>